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15"/>
        <w:ind w:left="0" w:hanging="2"/>
        <w:jc w:val="left"/>
        <w:rPr>
          <w:rFonts w:ascii="Century Gothic" w:hAnsi="Century Gothic" w:eastAsia="Century Gothic" w:cs="Century Gothic"/>
        </w:rPr>
      </w:pPr>
      <w:r>
        <w:rPr/>
        <w:drawing>
          <wp:inline distT="0" distB="0" distL="0" distR="0">
            <wp:extent cx="1053465" cy="114744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right="1006" w:hanging="3"/>
        <w:jc w:val="center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eastAsia="Century Gothic" w:cs="Century Gothic" w:ascii="Century Gothic" w:hAnsi="Century Gothic"/>
          <w:sz w:val="28"/>
          <w:szCs w:val="28"/>
        </w:rPr>
        <w:t>MINISTÉRIO DA EDUCAÇÃO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right="1006" w:hanging="3"/>
        <w:jc w:val="righ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sz w:val="28"/>
          <w:szCs w:val="28"/>
        </w:rPr>
        <w:t xml:space="preserve">UNIVERSIDADE FEDERAL RURAL DO RIO DE JANEIRO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hanging="3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sz w:val="28"/>
          <w:szCs w:val="28"/>
        </w:rPr>
        <w:t xml:space="preserve">INSTITUTO DE </w:t>
      </w:r>
      <w:r>
        <w:rPr>
          <w:rFonts w:eastAsia="Century Gothic" w:cs="Century Gothic" w:ascii="Century Gothic" w:hAnsi="Century Gothic"/>
          <w:color w:val="FF0000"/>
          <w:sz w:val="28"/>
          <w:szCs w:val="28"/>
        </w:rPr>
        <w:t>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hanging="3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sz w:val="28"/>
          <w:szCs w:val="28"/>
        </w:rPr>
        <w:t xml:space="preserve">COORDENAÇÃO DO CURSO DE </w:t>
      </w:r>
      <w:r>
        <w:rPr>
          <w:rFonts w:eastAsia="Century Gothic" w:cs="Century Gothic" w:ascii="Century Gothic" w:hAnsi="Century Gothic"/>
          <w:color w:val="FF0000"/>
          <w:sz w:val="28"/>
          <w:szCs w:val="28"/>
        </w:rPr>
        <w:t>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5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  <w:r>
        <w:rPr>
          <w:rFonts w:eastAsia="Century Gothic" w:cs="Century Gothic" w:ascii="Century Gothic" w:hAnsi="Century Gothic"/>
          <w:b/>
        </w:rPr>
        <w:t xml:space="preserve">PROJETO PEDAGÓGICO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hanging="3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sz w:val="28"/>
          <w:szCs w:val="28"/>
        </w:rPr>
        <w:t>Curso de Licenciatura/Bacharelado em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hanging="3"/>
        <w:jc w:val="center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eastAsia="Century Gothic" w:cs="Century Gothic" w:ascii="Century Gothic" w:hAnsi="Century Gothic"/>
          <w:b/>
          <w:sz w:val="28"/>
          <w:szCs w:val="28"/>
        </w:rPr>
        <w:t>xxxxxxxxxxxx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1" w:hanging="3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sz w:val="28"/>
          <w:szCs w:val="28"/>
        </w:rPr>
        <w:t>na modalidade presencial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2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Processo: xxxxxxx/xxxx-xx </w:t>
      </w:r>
    </w:p>
    <w:p>
      <w:pPr>
        <w:sectPr>
          <w:headerReference w:type="even" r:id="rId3"/>
          <w:headerReference w:type="default" r:id="rId4"/>
          <w:headerReference w:type="first" r:id="rId5"/>
          <w:footerReference w:type="even" r:id="rId6"/>
          <w:footerReference w:type="default" r:id="rId7"/>
          <w:footerReference w:type="first" r:id="rId8"/>
          <w:type w:val="nextPage"/>
          <w:pgSz w:w="11906" w:h="16838"/>
          <w:pgMar w:left="1133" w:right="1196" w:gutter="0" w:header="698" w:top="1711" w:footer="720" w:bottom="1191"/>
          <w:pgNumType w:start="6" w:fmt="decimal"/>
          <w:formProt w:val="false"/>
          <w:textDirection w:val="lrTb"/>
          <w:docGrid w:type="default" w:linePitch="100" w:charSpace="0"/>
        </w:sectPr>
        <w:pStyle w:val="Normal1"/>
        <w:pBdr>
          <w:top w:val="nil"/>
          <w:left w:val="nil"/>
          <w:bottom w:val="nil"/>
          <w:right w:val="nil"/>
        </w:pBdr>
        <w:tabs>
          <w:tab w:val="clear" w:pos="720"/>
          <w:tab w:val="center" w:pos="4819" w:leader="none"/>
          <w:tab w:val="center" w:pos="8534" w:leader="none"/>
        </w:tabs>
        <w:spacing w:lineRule="auto" w:line="259" w:before="0" w:after="68"/>
        <w:ind w:left="0" w:hanging="2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Seropédica, Ano</w:t>
      </w:r>
    </w:p>
    <w:p>
      <w:pPr>
        <w:pStyle w:val="Normal1"/>
        <w:pBdr>
          <w:top w:val="nil"/>
          <w:left w:val="nil"/>
          <w:bottom w:val="nil"/>
          <w:right w:val="nil"/>
        </w:pBdr>
        <w:tabs>
          <w:tab w:val="clear" w:pos="720"/>
          <w:tab w:val="center" w:pos="4819" w:leader="none"/>
          <w:tab w:val="center" w:pos="8534" w:leader="none"/>
        </w:tabs>
        <w:spacing w:lineRule="auto" w:line="259" w:before="0" w:after="68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133" w:right="1196" w:gutter="0" w:header="698" w:top="1711" w:footer="720" w:bottom="1191"/>
          <w:pgNumType w:start="6" w:fmt="decimal"/>
          <w:formProt w:val="false"/>
          <w:textDirection w:val="lrTb"/>
          <w:docGrid w:type="default" w:linePitch="100" w:charSpace="0"/>
        </w:sectPr>
      </w:pP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right="1458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/>
        <w:drawing>
          <wp:inline distT="0" distB="0" distL="0" distR="0">
            <wp:extent cx="1053465" cy="1147445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right="1458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right="1458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right="1458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right="1458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 xml:space="preserve">Reitor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2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color w:val="212529"/>
          <w:sz w:val="20"/>
          <w:szCs w:val="20"/>
          <w:highlight w:val="white"/>
        </w:rPr>
        <w:t>Roberto de Souza Rodrigues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96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 xml:space="preserve"> </w:t>
      </w:r>
      <w:r>
        <w:rPr>
          <w:rFonts w:eastAsia="Century Gothic" w:cs="Century Gothic" w:ascii="Century Gothic" w:hAnsi="Century Gothic"/>
          <w:b/>
          <w:sz w:val="20"/>
          <w:szCs w:val="20"/>
        </w:rPr>
        <w:t xml:space="preserve">Vice-Reitor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color w:val="212529"/>
          <w:sz w:val="20"/>
          <w:szCs w:val="20"/>
          <w:highlight w:val="white"/>
        </w:rPr>
        <w:t>Professor Cesar Augusto Da Ros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Pró-Reitor de Graduação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color w:val="212529"/>
          <w:sz w:val="20"/>
          <w:szCs w:val="20"/>
          <w:highlight w:val="white"/>
        </w:rPr>
        <w:t>Nidia Majerowicz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Pró-Reitor Adjunto de Graduação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>Edson Jesus de Souza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 xml:space="preserve">Diretor do Instituto de </w:t>
      </w:r>
      <w:r>
        <w:rPr>
          <w:rFonts w:eastAsia="Century Gothic" w:cs="Century Gothic" w:ascii="Century Gothic" w:hAnsi="Century Gothic"/>
          <w:b/>
          <w:color w:val="FF0000"/>
          <w:sz w:val="20"/>
          <w:szCs w:val="20"/>
        </w:rPr>
        <w:t xml:space="preserve">xxxxxx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47" w:before="0" w:after="105"/>
        <w:ind w:left="0" w:right="1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 xml:space="preserve">Coordenação do Curso </w:t>
      </w:r>
      <w:r>
        <w:rPr>
          <w:rFonts w:eastAsia="Century Gothic" w:cs="Century Gothic" w:ascii="Century Gothic" w:hAnsi="Century Gothic"/>
          <w:b/>
          <w:color w:val="FF0000"/>
          <w:sz w:val="20"/>
          <w:szCs w:val="20"/>
        </w:rPr>
        <w:t>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 xml:space="preserve">Coordenador (a): </w:t>
      </w: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 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  <w:t xml:space="preserve">Vice coordenador(a): </w:t>
      </w: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 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left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Membros do Núcleo Docente Estruturante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 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Xxxxxxxxx Xxxxxxxxx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 Xxxxxxxx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Professores do Curso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Membros da Comissão de Elaboração do Projeto Pedagógico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color w:val="FF0000"/>
          <w:sz w:val="20"/>
          <w:szCs w:val="20"/>
        </w:rPr>
      </w:pPr>
      <w:r>
        <w:rPr>
          <w:rFonts w:eastAsia="Century Gothic" w:cs="Century Gothic" w:ascii="Century Gothic" w:hAnsi="Century Gothic"/>
          <w:color w:val="FF0000"/>
          <w:sz w:val="20"/>
          <w:szCs w:val="20"/>
        </w:rPr>
        <w:t>Xxxxxxx Xxxxxxx Xxxxxxxx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sz w:val="20"/>
          <w:szCs w:val="20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 w:eastAsia="Century Gothic" w:cs="Century Gothic"/>
          <w:sz w:val="20"/>
          <w:szCs w:val="20"/>
        </w:rPr>
      </w:pPr>
      <w:r>
        <w:rPr>
          <w:rFonts w:eastAsia="Century Gothic" w:cs="Century Gothic" w:ascii="Century Gothic" w:hAnsi="Century Gothic"/>
          <w:b/>
          <w:sz w:val="20"/>
          <w:szCs w:val="20"/>
        </w:rPr>
        <w:t>Equipe da Divisão de Acompanhamento e Avaliação dos Cursos de Graduação</w:t>
      </w:r>
      <w:r>
        <w:rPr>
          <w:rFonts w:eastAsia="Century Gothic" w:cs="Century Gothic" w:ascii="Century Gothic" w:hAnsi="Century Gothic"/>
          <w:sz w:val="20"/>
          <w:szCs w:val="20"/>
        </w:rPr>
        <w:t xml:space="preserve"> -</w:t>
      </w:r>
      <w:r>
        <w:rPr>
          <w:rFonts w:eastAsia="Century Gothic" w:cs="Century Gothic" w:ascii="Century Gothic" w:hAnsi="Century Gothic"/>
          <w:b/>
          <w:sz w:val="20"/>
          <w:szCs w:val="20"/>
        </w:rPr>
        <w:t>DAACG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sz w:val="18"/>
          <w:szCs w:val="18"/>
        </w:rPr>
      </w:pPr>
      <w:r>
        <w:rPr>
          <w:rFonts w:eastAsia="Century Gothic" w:cs="Century Gothic" w:ascii="Century Gothic" w:hAnsi="Century Gothic"/>
          <w:sz w:val="18"/>
          <w:szCs w:val="18"/>
        </w:rPr>
        <w:t>Aurea Lunga Carvalho – Coordenadora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40" w:before="0" w:after="0"/>
        <w:ind w:left="0" w:right="33" w:hanging="2"/>
        <w:jc w:val="center"/>
        <w:rPr>
          <w:rFonts w:ascii="Century Gothic" w:hAnsi="Century Gothic"/>
          <w:sz w:val="18"/>
          <w:szCs w:val="18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Danielle Fernandes</w:t>
      </w:r>
      <w:r>
        <w:rPr>
          <w:rFonts w:eastAsia="Century Gothic" w:cs="Century Gothic" w:ascii="Century Gothic" w:hAnsi="Century Gothic"/>
          <w:sz w:val="18"/>
          <w:szCs w:val="18"/>
        </w:rPr>
        <w:t xml:space="preserve"> </w:t>
      </w:r>
      <w:r>
        <w:rPr>
          <w:rFonts w:eastAsia="Century Gothic" w:cs="Century Gothic" w:ascii="Century Gothic" w:hAnsi="Century Gothic"/>
          <w:sz w:val="18"/>
          <w:szCs w:val="18"/>
        </w:rPr>
        <w:t xml:space="preserve">da Costa </w:t>
      </w:r>
      <w:r>
        <w:rPr>
          <w:rFonts w:eastAsia="Century Gothic" w:cs="Century Gothic" w:ascii="Century Gothic" w:hAnsi="Century Gothic"/>
          <w:sz w:val="18"/>
          <w:szCs w:val="18"/>
        </w:rPr>
        <w:t xml:space="preserve">– </w:t>
      </w:r>
      <w:r>
        <w:rPr>
          <w:rFonts w:eastAsia="Century Gothic" w:cs="Century Gothic" w:ascii="Century Gothic" w:hAnsi="Century Gothic"/>
          <w:sz w:val="18"/>
          <w:szCs w:val="18"/>
        </w:rPr>
        <w:t>Pedagoga  Proext/Prograd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sz w:val="18"/>
          <w:szCs w:val="18"/>
        </w:rPr>
      </w:pPr>
      <w:r>
        <w:rPr>
          <w:rFonts w:eastAsia="Century Gothic" w:cs="Century Gothic" w:ascii="Century Gothic" w:hAnsi="Century Gothic"/>
          <w:sz w:val="18"/>
          <w:szCs w:val="18"/>
        </w:rPr>
        <w:t xml:space="preserve">Everton </w:t>
      </w:r>
      <w:r>
        <w:rPr>
          <w:rFonts w:eastAsia="Century Gothic" w:cs="Century Gothic" w:ascii="Century Gothic" w:hAnsi="Century Gothic"/>
          <w:sz w:val="18"/>
          <w:szCs w:val="18"/>
        </w:rPr>
        <w:t xml:space="preserve">da Silva </w:t>
      </w:r>
      <w:r>
        <w:rPr>
          <w:rFonts w:eastAsia="Century Gothic" w:cs="Century Gothic" w:ascii="Century Gothic" w:hAnsi="Century Gothic"/>
          <w:sz w:val="18"/>
          <w:szCs w:val="18"/>
        </w:rPr>
        <w:t>Canevelo – Estudos Avançados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sz w:val="18"/>
          <w:szCs w:val="18"/>
        </w:rPr>
      </w:pPr>
      <w:r>
        <w:rPr>
          <w:rFonts w:eastAsia="Century Gothic" w:cs="Century Gothic" w:ascii="Century Gothic" w:hAnsi="Century Gothic"/>
          <w:sz w:val="18"/>
          <w:szCs w:val="18"/>
        </w:rPr>
        <w:t>Kleber Borges de Araújo – Divisão de Regulação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rFonts w:ascii="Century Gothic" w:hAnsi="Century Gothic"/>
          <w:color w:val="000000"/>
          <w:sz w:val="18"/>
          <w:szCs w:val="18"/>
        </w:rPr>
      </w:pP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Marília 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Rodrigues </w:t>
      </w:r>
      <w:r>
        <w:rPr>
          <w:rFonts w:eastAsia="Century Gothic" w:cs="Century Gothic"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Ginglass</w:t>
      </w:r>
      <w:r>
        <w:rPr>
          <w:rFonts w:eastAsia="Century Gothic" w:cs="Century Gothic" w:ascii="Century Gothic" w:hAnsi="Century Gothic"/>
          <w:color w:val="000000"/>
          <w:sz w:val="18"/>
          <w:szCs w:val="18"/>
        </w:rPr>
        <w:t xml:space="preserve"> - </w:t>
      </w:r>
      <w:r>
        <w:rPr>
          <w:rFonts w:eastAsia="Century Gothic" w:cs="Century Gothic" w:ascii="Century Gothic" w:hAnsi="Century Gothic"/>
          <w:color w:val="000000"/>
          <w:sz w:val="18"/>
          <w:szCs w:val="18"/>
        </w:rPr>
        <w:t>Estudos Avançados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sz w:val="18"/>
          <w:szCs w:val="18"/>
        </w:rPr>
      </w:pPr>
      <w:r>
        <w:rPr>
          <w:rFonts w:eastAsia="Century Gothic" w:cs="Century Gothic" w:ascii="Century Gothic" w:hAnsi="Century Gothic"/>
          <w:sz w:val="18"/>
          <w:szCs w:val="18"/>
        </w:rPr>
        <w:t>Thalita Maria Cristina Rosa Oliveira – Acompanhamento Pedagógico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center"/>
        <w:rPr>
          <w:sz w:val="18"/>
          <w:szCs w:val="18"/>
        </w:rPr>
      </w:pPr>
      <w:r>
        <w:rPr>
          <w:rFonts w:eastAsia="Century Gothic" w:cs="Century Gothic" w:ascii="Century Gothic" w:hAnsi="Century Gothic"/>
          <w:sz w:val="18"/>
          <w:szCs w:val="18"/>
        </w:rPr>
        <w:t>Zamara Graziela Pinheiro de Oliveira – Acompanhamento Pedagógico</w:t>
      </w:r>
    </w:p>
    <w:p>
      <w:pPr>
        <w:sectPr>
          <w:type w:val="continuous"/>
          <w:pgSz w:w="11906" w:h="16838"/>
          <w:pgMar w:left="1133" w:right="1196" w:gutter="0" w:header="698" w:top="1711" w:footer="720" w:bottom="1191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sectPr>
          <w:type w:val="continuous"/>
          <w:pgSz w:w="11906" w:h="16838"/>
          <w:pgMar w:left="1133" w:right="1196" w:gutter="0" w:header="698" w:top="1711" w:footer="720" w:bottom="1191"/>
          <w:formProt w:val="false"/>
          <w:textDirection w:val="lrTb"/>
          <w:docGrid w:type="default" w:linePitch="100" w:charSpace="0"/>
        </w:sectPr>
      </w:pPr>
    </w:p>
    <w:p>
      <w:pPr>
        <w:pStyle w:val="Normal1"/>
        <w:keepNext w:val="true"/>
        <w:keepLines/>
        <w:pBdr>
          <w:top w:val="nil"/>
          <w:left w:val="nil"/>
          <w:bottom w:val="nil"/>
          <w:right w:val="nil"/>
        </w:pBdr>
        <w:spacing w:lineRule="auto" w:line="259" w:before="240" w:after="0"/>
        <w:ind w:left="1" w:hanging="3"/>
        <w:jc w:val="left"/>
        <w:rPr>
          <w:rFonts w:ascii="Calibri" w:hAnsi="Calibri" w:eastAsia="Calibri" w:cs="Calibri"/>
          <w:color w:val="2F5496"/>
          <w:sz w:val="32"/>
          <w:szCs w:val="32"/>
        </w:rPr>
      </w:pPr>
      <w:r>
        <w:rPr>
          <w:rFonts w:eastAsia="Calibri" w:cs="Calibri" w:ascii="Calibri" w:hAnsi="Calibri"/>
          <w:color w:val="2F5496"/>
          <w:sz w:val="32"/>
          <w:szCs w:val="32"/>
        </w:rPr>
        <w:t>Sumário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Vnculodendice"/>
              <w:sz w:val="22"/>
              <w:szCs w:val="22"/>
              <w:rFonts w:eastAsia="Century Gothic" w:cs="Century Gothic" w:ascii="Century Gothic" w:hAnsi="Century Gothic"/>
            </w:rPr>
            <w:instrText xml:space="preserve"> TOC \z \o "1-9" \u \h</w:instrText>
          </w:r>
          <w:r>
            <w:rPr>
              <w:webHidden/>
              <w:rStyle w:val="Vnculodendice"/>
              <w:sz w:val="22"/>
              <w:szCs w:val="22"/>
              <w:rFonts w:eastAsia="Century Gothic" w:cs="Century Gothic" w:ascii="Century Gothic" w:hAnsi="Century Gothic"/>
            </w:rPr>
            <w:fldChar w:fldCharType="separate"/>
          </w:r>
          <w:hyperlink w:anchor="_heading=h.gjdgxs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</w:t>
            </w:r>
          </w:hyperlink>
          <w:hyperlink w:anchor="_heading=h.gjdgxs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APRESENTAÇÃO</w:t>
          </w:r>
          <w:hyperlink w:anchor="_heading=h.gjdgxs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0j0zll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1.1.</w:t>
            </w:r>
          </w:hyperlink>
          <w:hyperlink w:anchor="_heading=h.30j0zll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Introdução</w:t>
          </w:r>
          <w:hyperlink w:anchor="_heading=h.30j0zll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fob9te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1.2.</w:t>
            </w:r>
          </w:hyperlink>
          <w:hyperlink w:anchor="_heading=h.1fob9te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Justificativa</w:t>
          </w:r>
          <w:hyperlink w:anchor="_heading=h.1fob9te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znysh7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2</w:t>
            </w:r>
          </w:hyperlink>
          <w:hyperlink w:anchor="_heading=h.3znysh7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CONCEPÇÃO DO CURSO</w:t>
          </w:r>
          <w:hyperlink w:anchor="_heading=h.3znysh7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et92p0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2.1.</w:t>
            </w:r>
          </w:hyperlink>
          <w:hyperlink w:anchor="_heading=h.2et92p0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Objetivos</w:t>
          </w:r>
          <w:hyperlink w:anchor="_heading=h.2et92p0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tyjcwt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2.2.</w:t>
            </w:r>
          </w:hyperlink>
          <w:hyperlink w:anchor="_heading=h.tyjcwt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Perfil do Egresso</w:t>
          </w:r>
          <w:hyperlink w:anchor="_heading=h.tyjcwt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dy6vkm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2.3.</w:t>
            </w:r>
          </w:hyperlink>
          <w:hyperlink w:anchor="_heading=h.3dy6vkm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Competências / Habilidades</w:t>
          </w:r>
          <w:hyperlink w:anchor="_heading=h.3dy6vkm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t3h5sf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2.4.</w:t>
            </w:r>
          </w:hyperlink>
          <w:hyperlink w:anchor="_heading=h.1t3h5sf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Política de ensino, extensão e pesquisa</w:t>
          </w:r>
          <w:hyperlink w:anchor="_heading=h.1t3h5sf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4d34og8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3</w:t>
            </w:r>
          </w:hyperlink>
          <w:hyperlink w:anchor="_heading=h.4d34og8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ORGANIZAÇÃO CURRICULAR</w:t>
          </w:r>
          <w:hyperlink w:anchor="_heading=h.4d34og8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s8eyo1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3. 1.    Identificação do Curso</w:t>
            </w:r>
          </w:hyperlink>
          <w:hyperlink w:anchor="_heading=h.2s8eyo1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  <w:t>7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7dp8vu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3. 2.    Matriz curricular</w:t>
            </w:r>
          </w:hyperlink>
          <w:hyperlink w:anchor="_heading=h.17dp8vu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  <w:t>8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110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rdcrjn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 xml:space="preserve">3.2.1 </w:t>
            </w:r>
          </w:hyperlink>
          <w:hyperlink w:anchor="_heading=h.3rdcrjn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Quadro resumo dos conteúdos curriculares</w:t>
          </w:r>
          <w:hyperlink w:anchor="_heading=h.3rdcrjn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9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110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6in1rg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 xml:space="preserve">3.2.2 </w:t>
            </w:r>
          </w:hyperlink>
          <w:hyperlink w:anchor="_heading=h.26in1rg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Proposta Curricular</w:t>
          </w:r>
          <w:hyperlink w:anchor="_heading=h.26in1rg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9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110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lnxbz9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 xml:space="preserve">3.2.3 </w:t>
            </w:r>
          </w:hyperlink>
          <w:hyperlink w:anchor="_heading=h.lnxbz9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Modelo de Matriz Curricular</w:t>
          </w:r>
          <w:hyperlink w:anchor="_heading=h.lnxbz9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10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110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5nkun2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 xml:space="preserve">3.2.4 </w:t>
            </w:r>
          </w:hyperlink>
          <w:hyperlink w:anchor="_heading=h.35nkun2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Representação gráfica do fluxo curricular</w:t>
          </w:r>
          <w:hyperlink w:anchor="_heading=h.35nkun2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10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ksv4uv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4.</w:t>
            </w:r>
          </w:hyperlink>
          <w:hyperlink w:anchor="_heading=h.1ksv4uv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METODOLOGIA DE ENSINO APRENDIZAGEM</w:t>
          </w:r>
          <w:hyperlink w:anchor="_heading=h.1ksv4uv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11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44sinio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5.</w:t>
            </w:r>
          </w:hyperlink>
          <w:hyperlink w:anchor="_heading=h.44sinio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POLÍTICA E GESTÃO DE ESTÁGIO CURRICULAR OBRIGATÓRIO E NÃO OBRIGATÓRIO</w:t>
          </w:r>
          <w:hyperlink w:anchor="_heading=h.44sinio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11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jxsxqh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6.</w:t>
            </w:r>
          </w:hyperlink>
          <w:hyperlink w:anchor="_heading=h.2jxsxqh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TRABALHO DE CONCLUSÃO DE CURSO</w:t>
          </w:r>
          <w:hyperlink w:anchor="_heading=h.2jxsxqh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12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z337ya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7.</w:t>
            </w:r>
          </w:hyperlink>
          <w:hyperlink w:anchor="_heading=h.z337ya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INTEGRAÇÃO ENSINO, PESQUISA E EXTENSÃO</w:t>
          </w:r>
          <w:hyperlink w:anchor="_heading=h.z337ya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12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pxezwc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8.</w:t>
            </w:r>
          </w:hyperlink>
          <w:hyperlink w:anchor="_heading=h.1pxezwc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SISTEMA DE AVALIAÇÃO DO PROCESSO DE ENSINO E DE APRENDIZAGEM</w:t>
          </w:r>
          <w:hyperlink w:anchor="_heading=h.1pxezwc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12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66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y810tw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9.</w:t>
            </w:r>
          </w:hyperlink>
          <w:hyperlink w:anchor="_heading=h.1y810tw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SISTEMA DE AVALIAÇÃO DO PROJETO DE CURSO</w:t>
          </w:r>
          <w:hyperlink w:anchor="_heading=h.1y810tw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12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4i7ojhp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10.</w:t>
            </w:r>
          </w:hyperlink>
          <w:hyperlink w:anchor="_heading=h.4i7ojhp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RECURSOS HUMANOS E GESTÃO ACADÊMICA</w:t>
          </w:r>
          <w:hyperlink w:anchor="_heading=h.4i7ojhp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12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xcytpi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10. 1.    Quadro docente do curso</w:t>
            </w:r>
          </w:hyperlink>
          <w:hyperlink w:anchor="_heading=h.2xcytpi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  <w:t>13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1ci93xb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10. 2.    Quadro técnico administrativo</w:t>
            </w:r>
          </w:hyperlink>
          <w:hyperlink w:anchor="_heading=h.1ci93xb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  <w:t>13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whwml4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11.</w:t>
            </w:r>
          </w:hyperlink>
          <w:hyperlink w:anchor="_heading=h.3whwml4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INFRAESTRUTURA</w:t>
          </w:r>
          <w:hyperlink w:anchor="_heading=h.3whwml4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13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2bn6wsx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12.</w:t>
            </w:r>
          </w:hyperlink>
          <w:hyperlink w:anchor="_heading=h.2bn6wsx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INCLUSÃO E ACESSIBILIDADE</w:t>
          </w:r>
          <w:hyperlink w:anchor="_heading=h.2bn6wsx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13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qsh70q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13.</w:t>
            </w:r>
          </w:hyperlink>
          <w:hyperlink w:anchor="_heading=h.qsh70q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REQUISITOS LEGAIS E FORMATIVOS</w:t>
          </w:r>
          <w:hyperlink w:anchor="_heading=h.qsh70q">
            <w:r>
              <w:rPr>
                <w:webHidden/>
                <w:rFonts w:eastAsia="Calibri" w:cs="Calibri" w:ascii="Calibri" w:hAnsi="Calibri"/>
                <w:sz w:val="22"/>
                <w:szCs w:val="22"/>
              </w:rPr>
              <w:tab/>
              <w:t>14</w:t>
            </w:r>
          </w:hyperlink>
        </w:p>
        <w:p>
          <w:pPr>
            <w:pStyle w:val="Normal1"/>
            <w:pBdr>
              <w:top w:val="nil"/>
              <w:left w:val="nil"/>
              <w:bottom w:val="nil"/>
              <w:right w:val="nil"/>
            </w:pBdr>
            <w:tabs>
              <w:tab w:val="clear" w:pos="720"/>
              <w:tab w:val="left" w:pos="880" w:leader="none"/>
            </w:tabs>
            <w:spacing w:lineRule="auto" w:line="264" w:before="0" w:after="0"/>
            <w:ind w:left="0" w:hanging="2"/>
            <w:jc w:val="left"/>
            <w:rPr>
              <w:rFonts w:ascii="Calibri" w:hAnsi="Calibri" w:eastAsia="Calibri" w:cs="Calibri"/>
              <w:sz w:val="22"/>
              <w:szCs w:val="22"/>
            </w:rPr>
          </w:pPr>
          <w:hyperlink w:anchor="_heading=h.3as4poj">
            <w:r>
              <w:rPr>
                <w:webHidden/>
                <w:rStyle w:val="Vnculodendice"/>
                <w:rFonts w:eastAsia="Century Gothic" w:cs="Century Gothic" w:ascii="Century Gothic" w:hAnsi="Century Gothic"/>
                <w:sz w:val="22"/>
                <w:szCs w:val="22"/>
              </w:rPr>
              <w:t>14.</w:t>
            </w:r>
          </w:hyperlink>
          <w:hyperlink w:anchor="_heading=h.3as4poj">
            <w:r>
              <w:rPr>
                <w:webHidden/>
                <w:rStyle w:val="Vnculodendice"/>
                <w:rFonts w:eastAsia="Calibri" w:cs="Calibri" w:ascii="Calibri" w:hAnsi="Calibri"/>
                <w:sz w:val="22"/>
                <w:szCs w:val="22"/>
              </w:rPr>
              <w:tab/>
            </w:r>
          </w:hyperlink>
          <w:r>
            <w:rPr>
              <w:rFonts w:eastAsia="Century Gothic" w:cs="Century Gothic" w:ascii="Century Gothic" w:hAnsi="Century Gothic"/>
              <w:sz w:val="22"/>
              <w:szCs w:val="22"/>
            </w:rPr>
            <w:t>ANEXOS</w:t>
          </w:r>
          <w:r>
            <w:rPr>
              <w:rFonts w:eastAsia="Calibri" w:cs="Calibri" w:ascii="Calibri" w:hAnsi="Calibri"/>
              <w:sz w:val="22"/>
              <w:szCs w:val="22"/>
            </w:rPr>
            <w:tab/>
            <w:t>14</w:t>
          </w:r>
          <w:r>
            <w:rPr>
              <w:sz w:val="22"/>
              <w:szCs w:val="22"/>
              <w:rFonts w:eastAsia="Calibri" w:cs="Calibri" w:ascii="Calibri" w:hAnsi="Calibri"/>
            </w:rPr>
            <w:fldChar w:fldCharType="end"/>
          </w:r>
        </w:p>
      </w:sdtContent>
    </w:sdt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tabs>
          <w:tab w:val="clear" w:pos="720"/>
          <w:tab w:val="center" w:pos="4818" w:leader="none"/>
          <w:tab w:val="center" w:pos="8640" w:leader="none"/>
        </w:tabs>
        <w:spacing w:lineRule="auto" w:line="259" w:before="0" w:after="68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tabs>
          <w:tab w:val="clear" w:pos="720"/>
          <w:tab w:val="center" w:pos="4818" w:leader="none"/>
          <w:tab w:val="center" w:pos="8640" w:leader="none"/>
        </w:tabs>
        <w:spacing w:lineRule="auto" w:line="259" w:before="0" w:after="68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0"/>
        <w:ind w:left="0" w:right="10711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60"/>
        <w:ind w:left="0" w:hanging="2"/>
        <w:jc w:val="lef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  <w:r>
        <w:br w:type="page"/>
      </w:r>
    </w:p>
    <w:p>
      <w:pPr>
        <w:pStyle w:val="Normal1"/>
        <w:keepNext w:val="true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0" w:name="_heading=h.gjdgxs"/>
      <w:bookmarkEnd w:id="0"/>
      <w:r>
        <w:rPr>
          <w:rFonts w:eastAsia="Century Gothic" w:cs="Century Gothic" w:ascii="Century Gothic" w:hAnsi="Century Gothic"/>
        </w:rPr>
        <w:t xml:space="preserve"> </w:t>
      </w:r>
      <w:r>
        <w:rPr>
          <w:rFonts w:eastAsia="Century Gothic" w:cs="Century Gothic" w:ascii="Century Gothic" w:hAnsi="Century Gothic"/>
          <w:b/>
          <w:color w:val="002060"/>
        </w:rPr>
        <w:t>APRESENTAÇÃO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1" w:name="_heading=h.30j0zll"/>
      <w:bookmarkStart w:id="2" w:name="_heading=h.30j0zll"/>
      <w:bookmarkEnd w:id="2"/>
    </w:p>
    <w:p>
      <w:pPr>
        <w:pStyle w:val="Normal1"/>
        <w:keepNext w:val="true"/>
        <w:numPr>
          <w:ilvl w:val="1"/>
          <w:numId w:val="1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Introdução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Seção com um breve Histórico da UFRRJ e do Curso.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3" w:name="_heading=h.1fob9te"/>
      <w:bookmarkStart w:id="4" w:name="_heading=h.1fob9te"/>
      <w:bookmarkEnd w:id="4"/>
    </w:p>
    <w:p>
      <w:pPr>
        <w:pStyle w:val="Normal1"/>
        <w:keepNext w:val="true"/>
        <w:numPr>
          <w:ilvl w:val="1"/>
          <w:numId w:val="1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Justificativa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Registro da criação e oferta do curso ou da reforma curricular- contexto institucional e regional nas suas demandas socioeconômicas e culturais.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A8D08D"/>
        </w:rPr>
      </w:pPr>
      <w:r>
        <w:rPr>
          <w:color w:val="A8D08D"/>
        </w:rPr>
      </w:r>
      <w:bookmarkStart w:id="5" w:name="_heading=h.3znysh7"/>
      <w:bookmarkStart w:id="6" w:name="_heading=h.3znysh7"/>
      <w:bookmarkEnd w:id="6"/>
    </w:p>
    <w:p>
      <w:pPr>
        <w:pStyle w:val="Normal1"/>
        <w:keepNext w:val="true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CONCEPÇÃO DO CURSO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7" w:name="_heading=h.2et92p0"/>
      <w:bookmarkStart w:id="8" w:name="_heading=h.2et92p0"/>
      <w:bookmarkEnd w:id="8"/>
    </w:p>
    <w:p>
      <w:pPr>
        <w:pStyle w:val="Normal1"/>
        <w:keepNext w:val="true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Objetivos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Informar os objetivos gerais e específicos do curso alinhado às DCN e ao Projeto Pedagógico Institucional – PPI.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  <w:bookmarkStart w:id="9" w:name="_heading=h.tyjcwt"/>
      <w:bookmarkStart w:id="10" w:name="_heading=h.tyjcwt"/>
      <w:bookmarkEnd w:id="10"/>
    </w:p>
    <w:p>
      <w:pPr>
        <w:pStyle w:val="Normal1"/>
        <w:keepNext w:val="true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Perfil do Egresso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Registrar o perfil do egresso alinhado às DCN/PPI.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  <w:bookmarkStart w:id="11" w:name="_heading=h.3dy6vkm"/>
      <w:bookmarkStart w:id="12" w:name="_heading=h.3dy6vkm"/>
      <w:bookmarkEnd w:id="12"/>
    </w:p>
    <w:p>
      <w:pPr>
        <w:pStyle w:val="Normal1"/>
        <w:keepNext w:val="true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Competências / Habilidades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Informar das competências / habilidades desenvolvidas no fluxo formativo proposto alinhado às DCN e ao Projeto Pedagógico Institucional – PPI.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  <w:bookmarkStart w:id="13" w:name="_heading=h.1t3h5sf"/>
      <w:bookmarkStart w:id="14" w:name="_heading=h.1t3h5sf"/>
      <w:bookmarkEnd w:id="14"/>
    </w:p>
    <w:p>
      <w:pPr>
        <w:pStyle w:val="Normal1"/>
        <w:keepNext w:val="true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Política de ensino, extensão e pesquisa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Atendimento às ações relacionadas no PDI/PPI.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  <w:bookmarkStart w:id="15" w:name="_heading=h.4d34og8"/>
      <w:bookmarkStart w:id="16" w:name="_heading=h.4d34og8"/>
      <w:bookmarkEnd w:id="16"/>
    </w:p>
    <w:p>
      <w:pPr>
        <w:pStyle w:val="Normal1"/>
        <w:keepNext w:val="true"/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ORGANIZAÇÃO CURRICULAR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17" w:name="_heading=h.2s8eyo1"/>
      <w:bookmarkStart w:id="18" w:name="_heading=h.2s8eyo1"/>
      <w:bookmarkEnd w:id="18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3. 1.    Identificação do Curso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a) área de conhecimento;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b) modalidade: (presencial ou à distância);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c) curso;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d) grau acadêmico: (bacharelado ou licenciatura);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e) título a ser conferido: (Bacharel ou Licenciado);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 xml:space="preserve">f) habilitação, ênfase e/ou linhas de formação;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 xml:space="preserve">g) unidade responsável pelo curso;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h) carga horária do curso;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i) turno de funcionamento (para curso presencial);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 xml:space="preserve">j) funcionamento do curso (para EAD);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k) número de vagas;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l) duração do curso em semestres (quantidade mínima e máxima);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 xml:space="preserve">m) forma de ingresso ao curso;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 xml:space="preserve">n) público-alvo (para cursos à distância);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Quattrocento Sans" w:hAnsi="Quattrocento Sans" w:eastAsia="Quattrocento Sans" w:cs="Quattrocento Sans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o) polos onde o curso será ofertado (para cursos à distância);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rFonts w:ascii="Calibri" w:hAnsi="Calibri" w:eastAsia="Calibri" w:cs="Calibri"/>
          <w:color w:val="385623"/>
          <w:sz w:val="22"/>
          <w:szCs w:val="22"/>
        </w:rPr>
      </w:pPr>
      <w:r>
        <w:rPr>
          <w:rFonts w:eastAsia="Calibri" w:cs="Calibri" w:ascii="Calibri" w:hAnsi="Calibri"/>
          <w:color w:val="385623"/>
          <w:sz w:val="22"/>
          <w:szCs w:val="22"/>
        </w:rPr>
        <w:t>p) atos legais de autorização, reconhecimento e renovação de reconhecimento de curso.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  <w:bookmarkStart w:id="19" w:name="_heading=h.17dp8vu"/>
      <w:bookmarkStart w:id="20" w:name="_heading=h.17dp8vu"/>
      <w:bookmarkEnd w:id="20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3. 2.    Matriz curricular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59" w:before="0" w:after="19"/>
        <w:ind w:left="0" w:hanging="2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Apresentar os elementos definidores da organização curricular relacionando os aspectos da flexibilidade, interdisciplinaridade, compatibilidade de carga horária total em horas, articulação da teoria com a prática, pré-requisitos e co-requisitos.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Os conteúdos curriculares deverão ser relacionados às competências e habilidades e observar se contemplam o desenvolvimento do perfil profissional do egresso considerando os aspectos: atualização, adequação das cargas horárias e ao atendimento às Diretrizes Curriculares Nacionais, quando definidas a estruturação de conteúdo/carga horária.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Ressalta-se que os conteúdos curriculares devem manter alinhamento com o perfil do egresso, embasado na atualização da área de conhecimento, recente e inovador, bem como a abordagem dos temas de: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1. Libras: De acordo com o Artigo 3º e seus incisos, Decreto nº 5.626, de 22 de dezembro de 2005, o componente curricular Libras é obrigatório nas licenciaturas e no curso de Pedagogia. Nos demais cursos de graduação, é opcional, devendo constar na lista das disciplinas optativas;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2. Estudos referentes à temática das relações etnicorraciais e ao tratamento dessas questões devem estar inclusos nos componentes e atividades curriculares dos cursos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/>
      </w:pPr>
      <w:r>
        <w:rPr>
          <w:color w:val="385623"/>
        </w:rPr>
        <w:t xml:space="preserve">3. Educação em direitos humanos (para licenciaturas, componente curricular obrigatório);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4. Políticas de educação ambiental (disciplinas, atividades ou algum projeto que trabalhe a educação ambiental no curso);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5. Os cursos de licenciatura atenderão as definições de temas registrados na Deliberação CEPE Nº 140/2019.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6. </w:t>
      </w:r>
      <w:r>
        <w:rPr>
          <w:b/>
          <w:color w:val="385623"/>
        </w:rPr>
        <w:t>Atividades Extensionistas – PNE (10%).</w:t>
      </w:r>
      <w:r>
        <w:rPr>
          <w:color w:val="385623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 inserção dos conhecimentos/conteúdos (2-4), na organização dos currículos poderá, segundo a norma, ocorrer das seguintes formas: a) pela transversalidade, por meio de temas relacionados e tratados interdisciplinarmente; b) como um conteúdo específico de uma das disciplinas já existentes no currículo escolar; c) de maneira mista, ou seja, combinando transversalidade e disciplinaridade.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  <w:bookmarkStart w:id="21" w:name="_heading=h.3rdcrjn"/>
      <w:bookmarkStart w:id="22" w:name="_heading=h.3rdcrjn"/>
      <w:bookmarkEnd w:id="22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 xml:space="preserve">3.2.1 </w:t>
        <w:tab/>
        <w:t>Quadro resumo dos conteúdos curriculares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Apresentar quadro resumo com a carga horária dos conteúdos curriculares com registro, caso necessário, a explicitação de percentual de carga horária definida em DCN relacionando, dentre outras informações: Carga horária de núcleo comum, núcleo específico obrigatório, núcleo específico optativo, prático, atividades acadêmicas, atividades extensionista e atividades autônomas (complementares).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keepNext w:val="true"/>
        <w:keepLines/>
        <w:pBdr>
          <w:top w:val="nil"/>
          <w:left w:val="nil"/>
          <w:bottom w:val="nil"/>
          <w:right w:val="nil"/>
        </w:pBdr>
        <w:spacing w:lineRule="auto" w:line="259" w:before="0" w:after="0"/>
        <w:ind w:left="0" w:right="1037" w:hanging="2"/>
        <w:jc w:val="left"/>
        <w:rPr>
          <w:b/>
          <w:b/>
          <w:color w:val="002060"/>
        </w:rPr>
      </w:pPr>
      <w:r>
        <w:rPr>
          <w:b/>
          <w:color w:val="002060"/>
        </w:rPr>
      </w:r>
      <w:bookmarkStart w:id="23" w:name="_heading=h.26in1rg"/>
      <w:bookmarkStart w:id="24" w:name="_heading=h.26in1rg"/>
      <w:bookmarkEnd w:id="24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 xml:space="preserve">3.2.2 </w:t>
        <w:tab/>
        <w:t>Proposta Curricular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Apresentar a distribuição recomendada das disciplinas e a duração prevista do curso em períodos destacando as alterações realizadas justificando os objetivos de inclusão, exclusão ou reordenamento de componentes curriculares (DCN e demais determinações legais do Ministério da Educação, Conselhos de Classe Profissionais), bem como os conteúdos relacionados a regionalidade do curso com impacto social.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82" w:firstLine="790"/>
        <w:rPr>
          <w:color w:val="385623"/>
        </w:rPr>
      </w:pPr>
      <w:r>
        <w:rPr>
          <w:color w:val="385623"/>
        </w:rPr>
        <w:t>Recomenda-se que o elenco dos programas das disciplinas com a informação dos componentes curriculares disciplinas/atividades acadêmicas ou /eixos temáticos com ementas, carga horária (teórica/ prática), atividades extensionistas e bibliografia sejam dispostas em anexo. Essa recomendação se dá pela preservação do fluxo das informações do curso sem o adensamento encontrado nos Programas Analíticos dos componentes.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  <w:bookmarkStart w:id="25" w:name="_heading=h.lnxbz9"/>
      <w:bookmarkStart w:id="26" w:name="_heading=h.lnxbz9"/>
      <w:bookmarkEnd w:id="26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 xml:space="preserve">3.2.3 </w:t>
        <w:tab/>
        <w:t>Modelo de Matriz Curricular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No modelo de periodização deve ser respeitado o limite de carga horária relacionada ao turno e a carga e complexidade de trabalho acadêmico.  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  <w:t>Quadro 1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  <w:t xml:space="preserve">Exemplo: </w:t>
      </w:r>
    </w:p>
    <w:tbl>
      <w:tblPr>
        <w:tblStyle w:val="Table1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6"/>
        <w:gridCol w:w="2505"/>
        <w:gridCol w:w="614"/>
        <w:gridCol w:w="707"/>
        <w:gridCol w:w="709"/>
        <w:gridCol w:w="913"/>
        <w:gridCol w:w="1071"/>
        <w:gridCol w:w="2204"/>
      </w:tblGrid>
      <w:tr>
        <w:trPr>
          <w:trHeight w:val="506" w:hRule="atLeast"/>
        </w:trPr>
        <w:tc>
          <w:tcPr>
            <w:tcW w:w="84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SEM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COMPONENTE CURRICULAR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CHT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CHP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CHAE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b/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red"/>
              </w:rPr>
              <w:t>CH TOTAL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red"/>
              </w:rPr>
              <w:t>PRE-REQUISITO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red"/>
              </w:rPr>
              <w:t>(CO-RE</w:t>
            </w:r>
            <w:r>
              <w:rPr>
                <w:b/>
                <w:sz w:val="20"/>
                <w:szCs w:val="20"/>
                <w:highlight w:val="white"/>
              </w:rPr>
              <w:t>QUISITO)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bookmarkStart w:id="27" w:name="_heading=h.3j2qqm3"/>
            <w:bookmarkEnd w:id="27"/>
            <w:r>
              <w:rPr>
                <w:b/>
                <w:sz w:val="20"/>
                <w:szCs w:val="20"/>
                <w:highlight w:val="white"/>
              </w:rPr>
              <w:t>2º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3º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4º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5º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6º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7º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8º</w:t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138" w:hRule="atLeast"/>
        </w:trPr>
        <w:tc>
          <w:tcPr>
            <w:tcW w:w="846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---</w:t>
            </w:r>
          </w:p>
        </w:tc>
        <w:tc>
          <w:tcPr>
            <w:tcW w:w="61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7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709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913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1071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--</w:t>
            </w:r>
          </w:p>
        </w:tc>
        <w:tc>
          <w:tcPr>
            <w:tcW w:w="2204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–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(–)</w:t>
            </w:r>
          </w:p>
        </w:tc>
      </w:tr>
      <w:tr>
        <w:trPr>
          <w:trHeight w:val="266" w:hRule="atLeast"/>
        </w:trPr>
        <w:tc>
          <w:tcPr>
            <w:tcW w:w="9569" w:type="dxa"/>
            <w:gridSpan w:val="8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*CR Créditos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*CHT Carga Horária Teórica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*CHP Carga Horária Prática</w:t>
            </w:r>
          </w:p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*CHAE Carga Horária Atividades Extensionistas</w:t>
            </w:r>
          </w:p>
        </w:tc>
      </w:tr>
    </w:tbl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bookmarkStart w:id="28" w:name="_heading=h.35nkun2"/>
      <w:bookmarkEnd w:id="28"/>
      <w:r>
        <w:rPr/>
        <w:t>Os estudantes de períodos anteriores à vigência da nova estrutura curricular poderão solicitar mudança de estrutura curricular e terão as equivalências dos componentes curriculares relacionados no Quadro 2, das estruturas curriculares XXXXX.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  <w:t xml:space="preserve">QUADRO 2 - </w:t>
        <w:tab/>
        <w:t xml:space="preserve">Relação de equivalências 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tbl>
      <w:tblPr>
        <w:tblStyle w:val="Table2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5"/>
        <w:gridCol w:w="2507"/>
        <w:gridCol w:w="1178"/>
        <w:gridCol w:w="852"/>
        <w:gridCol w:w="2518"/>
        <w:gridCol w:w="1166"/>
      </w:tblGrid>
      <w:tr>
        <w:trPr>
          <w:trHeight w:val="506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COD.</w:t>
            </w:r>
          </w:p>
        </w:tc>
        <w:tc>
          <w:tcPr>
            <w:tcW w:w="25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COMPONENTE CURRICULAR –ESTRUTURA ATUAL</w:t>
            </w:r>
          </w:p>
        </w:tc>
        <w:tc>
          <w:tcPr>
            <w:tcW w:w="11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CHorária</w:t>
            </w:r>
          </w:p>
        </w:tc>
        <w:tc>
          <w:tcPr>
            <w:tcW w:w="85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COD.</w:t>
            </w:r>
          </w:p>
        </w:tc>
        <w:tc>
          <w:tcPr>
            <w:tcW w:w="251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b/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white"/>
              </w:rPr>
              <w:t>COMPONENTE CURRICULAR – DEMAIS ESTURUTURAS</w:t>
            </w:r>
          </w:p>
        </w:tc>
        <w:tc>
          <w:tcPr>
            <w:tcW w:w="116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b/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  <w:highlight w:val="white"/>
              </w:rPr>
              <w:t>CHorária</w:t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38" w:hRule="atLeast"/>
        </w:trPr>
        <w:tc>
          <w:tcPr>
            <w:tcW w:w="845" w:type="dxa"/>
            <w:tcBorders>
              <w:top w:val="single" w:sz="4" w:space="0" w:color="4472C4"/>
              <w:left w:val="single" w:sz="4" w:space="0" w:color="4472C4"/>
              <w:bottom w:val="single" w:sz="4" w:space="0" w:color="B4C6E7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76" w:before="0" w:after="0"/>
              <w:ind w:left="0" w:hanging="2"/>
              <w:jc w:val="lef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07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78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852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2518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166" w:type="dxa"/>
            <w:tcBorders>
              <w:top w:val="single" w:sz="4" w:space="0" w:color="B4C6E7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</w:tbl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highlight w:val="white"/>
        </w:rPr>
      </w:pPr>
      <w:r>
        <w:rPr>
          <w:highlight w:val="white"/>
        </w:rPr>
      </w:r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 xml:space="preserve">3.2.4 </w:t>
        <w:tab/>
        <w:t>Representação gráfica do fluxo curricular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Modelo gráfico através do qual temos a planificação da organização do curso, apresenta as disciplinas e a sugestão de período no qual que devem ser cursadas.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Sua apresentação deve conter: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</w:p>
    <w:p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  <w:t>Disposição das disciplinas organizadas por período.</w:t>
      </w:r>
    </w:p>
    <w:p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  <w:t>Apresentação de disciplinas que possuam pré-requisitos sinalizadas por setas.</w:t>
      </w:r>
    </w:p>
    <w:p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  <w:t>Apresentação de nome, carga horária e créditos das disciplinas.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  <w:t>O fluxograma deve ser exibido no site do curso e em murais próximos a sua secretaria. (Vide Anexo).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  <w:bookmarkStart w:id="29" w:name="_heading=h.1ksv4uv"/>
      <w:bookmarkStart w:id="30" w:name="_heading=h.1ksv4uv"/>
      <w:bookmarkEnd w:id="30"/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METODOLOGIA DE ENSINO APRENDIZAGEM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Nesta seção é apresentada a metodologia (em alinhamento com as DCN) que nos termos do Instrumento de Avaliação de Cursos de Graduação do INEP relacionam os quesitos para o obtenção de conceito máximo: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276"/>
        <w:ind w:left="2267" w:hanging="0"/>
        <w:rPr>
          <w:color w:val="385623"/>
        </w:rPr>
      </w:pPr>
      <w:r>
        <w:rPr>
          <w:color w:val="385623"/>
        </w:rPr>
        <w:t>A metodologia, constante no PPC (e de acordo com as DCN, quando houver), atende ao desenvolvimento de conteúdo, às estratégias de aprendizagem, ao contínuo acompanhamento das atividades, à acessibilidade metodológica e à autonomia do discente, coaduna-se com práticas pedagógicas que estimulam a ação discente em uma relação teoria-prática, e é claramente inovadora e embasada em recursos que proporcionam aprendizagens diferenciadas dentro da área.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Outros aspectos a ter enfoque nesta seção são o de flexibilidade, da interdisciplinaridade e da acessibilidade metodológica que promova um percurso de formação que contribua para a autonomia do estudante nas escolhas e aprofundamento de estudos.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Destaca-se que muitas competências e habilidades previstas nas DCN estão relacionadas aos aspectos atitudinais que são desenvolvidos com a utilização de metodologias que permitem o protagonismo do estudante na construção do conhecimento, contribuindo, inclusive, no momento dos trabalhos de conclusão de curso como momento de produção individual.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firstLine="720"/>
        <w:rPr>
          <w:color w:val="385623"/>
        </w:rPr>
      </w:pPr>
      <w:r>
        <w:rPr>
          <w:color w:val="385623"/>
        </w:rPr>
        <w:t>Nesta seção deverá ser descrita as metodologias de ensino-aprendizagem implementadas no curso alinhados à promoção da aprendizagem com a participação ativa dos estudantes dispondo os conteúdos no formato mais propício à participação no processo ensino-aprendizagem, por exemplo: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firstLine="720"/>
        <w:rPr>
          <w:color w:val="385623"/>
        </w:rPr>
      </w:pPr>
      <w:r>
        <w:rPr>
          <w:color w:val="385623"/>
        </w:rPr>
      </w:r>
    </w:p>
    <w:p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Rule="auto" w:line="360" w:before="0" w:after="0"/>
        <w:ind w:left="1440" w:hanging="360"/>
        <w:rPr>
          <w:color w:val="385623"/>
          <w:highlight w:val="white"/>
        </w:rPr>
      </w:pPr>
      <w:r>
        <w:rPr>
          <w:color w:val="385623"/>
          <w:sz w:val="14"/>
          <w:szCs w:val="14"/>
          <w:highlight w:val="white"/>
        </w:rPr>
        <w:t xml:space="preserve"> </w:t>
      </w:r>
      <w:r>
        <w:rPr>
          <w:color w:val="385623"/>
          <w:highlight w:val="white"/>
        </w:rPr>
        <w:t>METODOLOGIA ATIVA e seus formatos (sala de aula invertida, aprendizagem baseada em problemas, sala de aula compartilhada, criação de jogos e programação…).</w:t>
      </w:r>
    </w:p>
    <w:p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Rule="auto" w:line="360" w:before="0" w:after="0"/>
        <w:ind w:left="1440" w:hanging="360"/>
        <w:rPr>
          <w:color w:val="385623"/>
          <w:highlight w:val="white"/>
        </w:rPr>
      </w:pPr>
      <w:r>
        <w:rPr>
          <w:color w:val="385623"/>
          <w:highlight w:val="white"/>
        </w:rPr>
        <w:t>Aprendizagem com simulação/dramatização</w:t>
      </w:r>
    </w:p>
    <w:p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Rule="auto" w:line="360" w:before="0" w:after="0"/>
        <w:ind w:left="1440" w:hanging="360"/>
        <w:rPr>
          <w:color w:val="385623"/>
          <w:highlight w:val="white"/>
        </w:rPr>
      </w:pPr>
      <w:r>
        <w:rPr>
          <w:color w:val="385623"/>
          <w:highlight w:val="white"/>
        </w:rPr>
        <w:t>Aprendizagem a partir de Casos</w:t>
      </w:r>
    </w:p>
    <w:p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Rule="auto" w:line="360" w:before="0" w:after="0"/>
        <w:ind w:left="1440" w:hanging="360"/>
        <w:rPr>
          <w:color w:val="385623"/>
          <w:highlight w:val="white"/>
        </w:rPr>
      </w:pPr>
      <w:r>
        <w:rPr>
          <w:color w:val="385623"/>
          <w:highlight w:val="white"/>
        </w:rPr>
        <w:t>Aprendizagem com Laboratórios Físicos ou Virtuais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>
          <w:color w:val="385623"/>
          <w:highlight w:val="white"/>
        </w:rPr>
      </w:pPr>
      <w:r>
        <w:rPr>
          <w:color w:val="385623"/>
          <w:highlight w:val="white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31" w:name="_heading=h.44sinio"/>
      <w:bookmarkStart w:id="32" w:name="_heading=h.44sinio"/>
      <w:bookmarkEnd w:id="32"/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POLÍTICA E GESTÃO DE ESTÁGIO CURRICULAR OBRIGATÓRIO E NÃO OBRIGATÓRIO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a) O texto da Política e Gestão do Estágio obrigatório e não obrigatório deve ser elaborado tomando por base os a Lei 11.788 de 2008 e na deliberação CEPE/UFFRJ nº 148/2016;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b) ter uma definição do que é o estágio e expressar como este contribui com a formação  profissional do estudante;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c) explicitar sobre o estágio curricular obrigatório e estágio curricular não obrigatório;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d) apresentar de forma clara, objetiva como o estágio será desenvolvido e a partir de que período, com nome dos componentes curriculares e respectivas cargas horárias, como se dará a orientação, supervisão e coordenação.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33" w:name="_heading=h.2jxsxqh"/>
      <w:bookmarkStart w:id="34" w:name="_heading=h.2jxsxqh"/>
      <w:bookmarkEnd w:id="34"/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TRABALHO DE CONCLUSÃO DE CURSO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Definição das formas de organização e elaboração dos TCCs - componentes curriculares coletivos e/ou individual orientado e critérios, carga horária, formas de apresentação, orientação e coordenação.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Explicitar as normas e formas de divulgação pública dos TCCs e as possíveis exceções.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35" w:name="_heading=h.z337ya"/>
      <w:bookmarkStart w:id="36" w:name="_heading=h.z337ya"/>
      <w:bookmarkEnd w:id="36"/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INTEGRAÇÃO ENSINO, PESQUISA E EXTENSÃO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Explicitar as políticas de ensino, de extensão e de pesquisa, em consonância com o PDI, possíveis de serem implantadas no </w:t>
      </w:r>
      <w:r>
        <w:rPr>
          <w:b/>
          <w:color w:val="385623"/>
        </w:rPr>
        <w:t>âmbito do curso</w:t>
      </w:r>
      <w:r>
        <w:rPr>
          <w:color w:val="385623"/>
        </w:rPr>
        <w:t xml:space="preserve">. Neste item informar a participação dos discentes nos programas (Monitoria, PIBID, PROIC...)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Apresentar como será trabalhada a integração do ensino, pesquisa e extensão.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  <w:shd w:fill="C9DAF8" w:val="clear"/>
        </w:rPr>
      </w:pPr>
      <w:r>
        <w:rPr>
          <w:color w:val="385623"/>
          <w:shd w:fill="C9DAF8" w:val="clear"/>
        </w:rPr>
        <w:t xml:space="preserve">Poderá ser explicitado como a curricularização da extensão (10% da carga horária total do curso) está organizada no curso em componentes curriculares e atividades extensionistas.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  <w:shd w:fill="C9DAF8" w:val="clear"/>
        </w:rPr>
      </w:pPr>
      <w:r>
        <w:rPr>
          <w:color w:val="385623"/>
          <w:shd w:fill="C9DAF8" w:val="clear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  <w:shd w:fill="C9DAF8" w:val="clear"/>
        </w:rPr>
      </w:pPr>
      <w:r>
        <w:rPr>
          <w:color w:val="385623"/>
          <w:shd w:fill="C9DAF8" w:val="clear"/>
        </w:rPr>
        <w:t>Em conformidade com o regulamento institucional da curricularização da extensão.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  <w:shd w:fill="C9DAF8" w:val="clear"/>
        </w:rPr>
      </w:pPr>
      <w:r>
        <w:rPr>
          <w:color w:val="385623"/>
          <w:shd w:fill="C9DAF8" w:val="clear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  <w:shd w:fill="C9DAF8" w:val="clear"/>
        </w:rPr>
      </w:pPr>
      <w:r>
        <w:rPr>
          <w:color w:val="385623"/>
          <w:shd w:fill="C9DAF8" w:val="clear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SISTEMA DE AVALIAÇÃO DO PROCESSO DE ENSINO E DE APRENDIZAGEM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Explicitar os procedimentos de avaliação dos processos de ensino-aprendizagem implantados no curso de forma clara e objetiva considerando o Regulamento da Graduação/UFRRJ.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As formas de avaliação devem ser bem discutidas pelo NDE e propositivas aos departamentos como forma de preparar o estudante para o registro de conhecimento relacionado à resolução de problemas evitando-se o nível de memorização, apenas.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  <w:bookmarkStart w:id="37" w:name="_heading=h.1y810tw"/>
      <w:bookmarkStart w:id="38" w:name="_heading=h.1y810tw"/>
      <w:bookmarkEnd w:id="38"/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SISTEMA DE AVALIAÇÃO DO PROJETO DE CURSO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Explicitar as ações acadêmico-administrativas, em decorrência das autoavaliações e das avaliações de disciplinas, do próprio curso e do MEC/INEP (ENADE, CPC e outras).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Contemplar acompanhamento dos egressos.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39" w:name="_heading=h.4i7ojhp"/>
      <w:bookmarkEnd w:id="39"/>
      <w:r>
        <w:rPr>
          <w:rFonts w:eastAsia="Century Gothic" w:cs="Century Gothic" w:ascii="Century Gothic" w:hAnsi="Century Gothic"/>
          <w:b/>
          <w:color w:val="002060"/>
        </w:rPr>
        <w:t xml:space="preserve"> </w:t>
      </w:r>
      <w:r>
        <w:rPr>
          <w:rFonts w:eastAsia="Century Gothic" w:cs="Century Gothic" w:ascii="Century Gothic" w:hAnsi="Century Gothic"/>
          <w:b/>
          <w:color w:val="002060"/>
        </w:rPr>
        <w:t>RECURSOS HUMANOS E GESTÃO ACADÊMICA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Deve ser preenchido com informações sobre o quadro docente do curso e do quadro de técnicos administrativos em educação.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/>
      </w:pPr>
      <w:r>
        <w:rPr>
          <w:color w:val="385623"/>
        </w:rPr>
        <w:t>A organização da gestão do curso com a apresentação dos critérios de estruturação do Núcleo Docente Estruturante – NDE e Colegiado de Curso será apresentada de acordo com o alinhamento com a organização da UFRRJ e com o papel do Conselho de Unidade – CONSUNI</w:t>
      </w:r>
      <w:r>
        <w:rPr/>
        <w:t>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  <w:bookmarkStart w:id="40" w:name="_heading=h.2xcytpi"/>
      <w:bookmarkStart w:id="41" w:name="_heading=h.2xcytpi"/>
      <w:bookmarkEnd w:id="41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  <w:shd w:fill="FF9900" w:val="clear"/>
        </w:rPr>
      </w:pPr>
      <w:r>
        <w:rPr>
          <w:rFonts w:eastAsia="Century Gothic" w:cs="Century Gothic" w:ascii="Century Gothic" w:hAnsi="Century Gothic"/>
          <w:b/>
          <w:color w:val="002060"/>
        </w:rPr>
        <w:t xml:space="preserve">10. 1.    Quadro docente do curso </w:t>
      </w:r>
      <w:r>
        <w:rPr>
          <w:rFonts w:eastAsia="Century Gothic" w:cs="Century Gothic" w:ascii="Century Gothic" w:hAnsi="Century Gothic"/>
          <w:b/>
          <w:color w:val="002060"/>
          <w:shd w:fill="FF9900" w:val="clear"/>
        </w:rPr>
        <w:t>(de todas as unidades que oferecem conteúdos curriculares para o curso)</w:t>
      </w:r>
    </w:p>
    <w:tbl>
      <w:tblPr>
        <w:tblStyle w:val="Table3"/>
        <w:tblW w:w="95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96"/>
        <w:gridCol w:w="1986"/>
        <w:gridCol w:w="1335"/>
        <w:gridCol w:w="1440"/>
        <w:gridCol w:w="1411"/>
      </w:tblGrid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Nome</w:t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Componente (s) curricular (es)</w:t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Titulação</w:t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Regime de Trabalho</w:t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Vínculo Institucional</w:t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33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9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33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</w:tbl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  <w:bookmarkStart w:id="42" w:name="_heading=h.1ci93xb"/>
      <w:bookmarkStart w:id="43" w:name="_heading=h.1ci93xb"/>
      <w:bookmarkEnd w:id="43"/>
    </w:p>
    <w:p>
      <w:pPr>
        <w:pStyle w:val="Normal1"/>
        <w:keepNext w:val="true"/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r>
        <w:rPr>
          <w:rFonts w:eastAsia="Century Gothic" w:cs="Century Gothic" w:ascii="Century Gothic" w:hAnsi="Century Gothic"/>
          <w:b/>
          <w:color w:val="002060"/>
        </w:rPr>
        <w:t>10. 2.    Quadro técnico administrativo (</w:t>
      </w:r>
      <w:r>
        <w:rPr>
          <w:rFonts w:eastAsia="Century Gothic" w:cs="Century Gothic" w:ascii="Century Gothic" w:hAnsi="Century Gothic"/>
          <w:b/>
          <w:color w:val="002060"/>
          <w:shd w:fill="FF9900" w:val="clear"/>
        </w:rPr>
        <w:t>de todas as unidades que oferecem conteúdos curriculares para o curso</w:t>
      </w:r>
      <w:r>
        <w:rPr>
          <w:rFonts w:eastAsia="Century Gothic" w:cs="Century Gothic" w:ascii="Century Gothic" w:hAnsi="Century Gothic"/>
          <w:b/>
          <w:color w:val="002060"/>
        </w:rPr>
        <w:t>)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tbl>
      <w:tblPr>
        <w:tblStyle w:val="Table4"/>
        <w:tblW w:w="94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07"/>
        <w:gridCol w:w="3684"/>
      </w:tblGrid>
      <w:tr>
        <w:trPr>
          <w:trHeight w:val="417" w:hRule="atLeast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Nome</w:t>
            </w:r>
          </w:p>
        </w:tc>
        <w:tc>
          <w:tcPr>
            <w:tcW w:w="36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Função</w:t>
            </w:r>
          </w:p>
        </w:tc>
      </w:tr>
      <w:tr>
        <w:trPr>
          <w:trHeight w:val="284" w:hRule="atLeast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36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191" w:hRule="atLeast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36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223" w:hRule="atLeast"/>
        </w:trPr>
        <w:tc>
          <w:tcPr>
            <w:tcW w:w="580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tcW w:w="368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fill="FFFFFF" w:val="clear"/>
          </w:tcPr>
          <w:p>
            <w:pPr>
              <w:pStyle w:val="Normal1"/>
              <w:widowControl w:val="false"/>
              <w:pBdr>
                <w:top w:val="nil"/>
                <w:left w:val="nil"/>
                <w:bottom w:val="nil"/>
                <w:right w:val="nil"/>
              </w:pBdr>
              <w:spacing w:lineRule="auto" w:line="240" w:before="0" w:after="14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</w:tbl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>
          <w:color w:val="385623"/>
        </w:rPr>
      </w:pPr>
      <w:r>
        <w:rPr>
          <w:rFonts w:eastAsia="Century Gothic" w:cs="Century Gothic" w:ascii="Century Gothic" w:hAnsi="Century Gothic"/>
          <w:b/>
          <w:color w:val="002060"/>
        </w:rPr>
        <w:t>10.3      Política de formação docente continuada</w:t>
      </w:r>
      <w:r>
        <w:rPr>
          <w:color w:val="385623"/>
        </w:rPr>
        <w:t xml:space="preserve">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>
          <w:color w:val="385623"/>
        </w:rPr>
      </w:pPr>
      <w:r>
        <w:rPr>
          <w:color w:val="385623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>
          <w:color w:val="385623"/>
        </w:rPr>
        <w:t>Descrever as políticas de formação docente continuada na UFRRJ (PROGRAD/PROGEPE/PROEXT).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44" w:name="_heading=h.3whwml4"/>
      <w:bookmarkEnd w:id="44"/>
      <w:r>
        <w:rPr>
          <w:rFonts w:eastAsia="Century Gothic" w:cs="Century Gothic" w:ascii="Century Gothic" w:hAnsi="Century Gothic"/>
          <w:b/>
          <w:color w:val="002060"/>
        </w:rPr>
        <w:t xml:space="preserve">  </w:t>
      </w:r>
      <w:r>
        <w:rPr>
          <w:rFonts w:eastAsia="Century Gothic" w:cs="Century Gothic" w:ascii="Century Gothic" w:hAnsi="Century Gothic"/>
          <w:b/>
          <w:color w:val="002060"/>
        </w:rPr>
        <w:t>INFRAESTRUTURA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>
          <w:rFonts w:ascii="Century Gothic" w:hAnsi="Century Gothic" w:eastAsia="Century Gothic" w:cs="Century Gothic"/>
        </w:rPr>
      </w:pPr>
      <w:r>
        <w:rPr>
          <w:color w:val="385623"/>
        </w:rPr>
        <w:t>Relacionadas aos Institutos que oferecem componentes curriculares ao curso (salas, laboratórios…) e às estruturas gerais de atendimento ao estudante de modo integral (alojamentos, parque aquático, centro de arte e cultura e etc.)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45" w:name="_heading=h.2bn6wsx"/>
      <w:bookmarkEnd w:id="45"/>
      <w:r>
        <w:rPr>
          <w:rFonts w:eastAsia="Century Gothic" w:cs="Century Gothic" w:ascii="Century Gothic" w:hAnsi="Century Gothic"/>
          <w:b/>
          <w:color w:val="002060"/>
        </w:rPr>
        <w:t xml:space="preserve">  </w:t>
      </w:r>
      <w:r>
        <w:rPr>
          <w:rFonts w:eastAsia="Century Gothic" w:cs="Century Gothic" w:ascii="Century Gothic" w:hAnsi="Century Gothic"/>
          <w:b/>
          <w:color w:val="002060"/>
        </w:rPr>
        <w:t>INCLUSÃO E ACESSIBILIDADE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>
          <w:color w:val="1F3864"/>
        </w:rPr>
      </w:pPr>
      <w:r>
        <w:rPr>
          <w:color w:val="1F3864"/>
        </w:rPr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Expor a acessibilidade metodológica que o curso possui para promover a inclusão.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Quais tecnologias de informação são empregadas para promover a interação entre discentes e docentes.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Falar sobre a existência de projetos que possibilitem que os alunos tenham acompanhamento com tutores (discentes bolsistas) que possam auxiliá-los nas atividades dos cursos. (Ex: alunos ledores).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>
          <w:color w:val="1F3864"/>
        </w:rPr>
      </w:pPr>
      <w:r>
        <w:rPr>
          <w:color w:val="1F3864"/>
        </w:rPr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46" w:name="_heading=h.qsh70q"/>
      <w:bookmarkEnd w:id="46"/>
      <w:r>
        <w:rPr>
          <w:rFonts w:eastAsia="Century Gothic" w:cs="Century Gothic" w:ascii="Century Gothic" w:hAnsi="Century Gothic"/>
          <w:b/>
          <w:color w:val="002060"/>
        </w:rPr>
        <w:t xml:space="preserve">  </w:t>
      </w:r>
      <w:r>
        <w:rPr>
          <w:rFonts w:eastAsia="Century Gothic" w:cs="Century Gothic" w:ascii="Century Gothic" w:hAnsi="Century Gothic"/>
          <w:b/>
          <w:color w:val="002060"/>
        </w:rPr>
        <w:t>REQUISITOS LEGAIS E FORMATIVOS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/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1) Lei Nº 9394, de 20 de dezembro de 1996 - Lei de Diretrizes e Bases da Educação Nacional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2) Lei Nº 13.005, de 25 de junho de 2014 - Plano Nacional de Educação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3) Diretrizes Curriculares Nacionais do Curso 24 25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4) Diretrizes Curriculares Nacionais para Educação das Relações Étnico-raciais e para o Ensino de História e Cultura Afro-brasileira e Indígena (Lei n° 11.645 de 10/03/2008 e Resolução CNE/CP N° 01 de 17 de junho de 2004 e Deliberação CEPE nº 35 de 26 de abril de 2013.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5) Prevalência de avaliação presencial para os cursos na modalidade a distância (Dec. Nº. 5.622/2005 art. 4 inciso II, $2)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6) Disciplina de LIBRAS (Dec. 5626/2005)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7) Políticas de educação ambiental (Lei nº 9.795, de 27 de abril de 1999 e Decreto Nº 4.281 de 25 de junho de 2002)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8) Educação em Direitos Humanos (Resolução CNE/CP nº 1, de 30 de maio de 2012)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keepNext w:val="true"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Rule="auto" w:line="240" w:before="0" w:after="0"/>
        <w:ind w:left="0" w:hanging="2"/>
        <w:jc w:val="left"/>
        <w:rPr>
          <w:rFonts w:ascii="Century Gothic" w:hAnsi="Century Gothic" w:eastAsia="Century Gothic" w:cs="Century Gothic"/>
          <w:b/>
          <w:b/>
          <w:color w:val="002060"/>
        </w:rPr>
      </w:pPr>
      <w:bookmarkStart w:id="47" w:name="_heading=h.3as4poj"/>
      <w:bookmarkEnd w:id="47"/>
      <w:r>
        <w:rPr>
          <w:rFonts w:eastAsia="Century Gothic" w:cs="Century Gothic" w:ascii="Century Gothic" w:hAnsi="Century Gothic"/>
          <w:b/>
          <w:color w:val="002060"/>
        </w:rPr>
        <w:t xml:space="preserve">  </w:t>
      </w:r>
      <w:r>
        <w:rPr>
          <w:rFonts w:eastAsia="Century Gothic" w:cs="Century Gothic" w:ascii="Century Gothic" w:hAnsi="Century Gothic"/>
          <w:b/>
          <w:color w:val="002060"/>
        </w:rPr>
        <w:t>ANEXOS</w:t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ind w:left="0" w:hanging="2"/>
        <w:rPr/>
      </w:pPr>
      <w:r>
        <w:rPr/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1) Normas de Estágio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2) Normas de Trabalho de Conclusão de Curso 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3) Atividades Autônomas (Complementares)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 xml:space="preserve">4) Programas Analíticos </w:t>
      </w:r>
    </w:p>
    <w:p>
      <w:pPr>
        <w:sectPr>
          <w:headerReference w:type="default" r:id="rId12"/>
          <w:footerReference w:type="default" r:id="rId13"/>
          <w:type w:val="continuous"/>
          <w:pgSz w:w="11906" w:h="16838"/>
          <w:pgMar w:left="1133" w:right="1196" w:gutter="0" w:header="698" w:top="1711" w:footer="720" w:bottom="1191"/>
          <w:pgNumType w:fmt="decimal"/>
          <w:formProt w:val="false"/>
          <w:textDirection w:val="lrTb"/>
          <w:docGrid w:type="default" w:linePitch="100" w:charSpace="0"/>
        </w:sect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>
          <w:color w:val="385623"/>
        </w:rPr>
        <w:t>5) Caracterização de extensão curricular</w:t>
      </w:r>
    </w:p>
    <w:p>
      <w:pPr>
        <w:pStyle w:val="Normal1"/>
        <w:pBdr>
          <w:top w:val="nil"/>
          <w:left w:val="nil"/>
          <w:bottom w:val="nil"/>
          <w:right w:val="nil"/>
        </w:pBdr>
        <w:spacing w:lineRule="auto" w:line="360" w:before="0" w:after="0"/>
        <w:ind w:left="0" w:hanging="2"/>
        <w:rPr>
          <w:color w:val="385623"/>
        </w:rPr>
      </w:pPr>
      <w:r>
        <w:rPr/>
        <w:drawing>
          <wp:inline distT="0" distB="0" distL="0" distR="0">
            <wp:extent cx="9210675" cy="6490970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64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5"/>
      <w:footerReference w:type="default" r:id="rId16"/>
      <w:type w:val="nextPage"/>
      <w:pgSz w:orient="landscape" w:w="16838" w:h="11906"/>
      <w:pgMar w:left="1133" w:right="1196" w:gutter="0" w:header="698" w:top="1711" w:footer="720" w:bottom="119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  <w:font w:name="Century Gothic">
    <w:charset w:val="01"/>
    <w:family w:val="swiss"/>
    <w:pitch w:val="variable"/>
  </w:font>
  <w:font w:name="Quattrocento Sans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Monotype Sort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hanging="2"/>
      <w:jc w:val="left"/>
      <w:rPr/>
    </w:pP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hanging="2"/>
      <w:jc w:val="left"/>
      <w:rPr/>
    </w:pPr>
    <w:r>
      <w:rPr/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hanging="2"/>
      <w:jc w:val="left"/>
      <w:rPr/>
    </w:pPr>
    <w:r>
      <w:rPr/>
      <w:t xml:space="preserve">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hanging="2"/>
      <w:jc w:val="left"/>
      <w:rPr/>
    </w:pPr>
    <w:r>
      <w:rPr/>
      <w:t xml:space="preserve"> 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right="-62" w:hanging="2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19</w:t>
    </w:r>
    <w:r>
      <w:rPr/>
      <w:fldChar w:fldCharType="end"/>
    </w:r>
    <w:r>
      <w:rPr/>
      <w:t xml:space="preserve"> </w:t>
    </w:r>
  </w:p>
  <w:p>
    <w:pPr>
      <w:pStyle w:val="Normal1"/>
      <w:pBdr>
        <w:top w:val="nil"/>
        <w:left w:val="nil"/>
        <w:bottom w:val="nil"/>
        <w:right w:val="nil"/>
      </w:pBdr>
      <w:spacing w:lineRule="auto" w:line="259" w:before="0" w:after="0"/>
      <w:ind w:left="0" w:hanging="2"/>
      <w:jc w:val="left"/>
      <w:rPr/>
    </w:pPr>
    <w:r>
      <w:rPr/>
      <w:t xml:space="preserve"> </w: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>
        <w:top w:val="nil"/>
        <w:left w:val="nil"/>
        <w:bottom w:val="nil"/>
        <w:right w:val="nil"/>
      </w:pBdr>
      <w:spacing w:lineRule="auto" w:line="240" w:before="0" w:after="0"/>
      <w:ind w:left="0" w:hanging="2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vertAlign w:val="baseline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7" w:hanging="737"/>
      </w:pPr>
      <w:rPr>
        <w:vertAlign w:val="baseline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vertAlign w:val="baseline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vertAlign w:val="baseline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vertAlign w:val="baseline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4"/>
      </w:pPr>
      <w:rPr>
        <w:vertAlign w:val="baseline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vertAlign w:val="baseline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vertAlign w:val="baseline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vertAlign w:val="baseline"/>
        <w:position w:val="0"/>
        <w:sz w:val="24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vertAlign w:val="baseline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vertAlign w:val="baseline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vertAlign w:val="baseline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vertAlign w:val="baseline"/>
        <w:position w:val="0"/>
        <w:sz w:val="24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142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  <w:vertAlign w:val="baseline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8" w:hanging="360"/>
      </w:pPr>
      <w:rPr>
        <w:rFonts w:ascii="Noto Sans Symbols" w:hAnsi="Noto Sans Symbols" w:cs="Noto Sans Symbols" w:hint="default"/>
        <w:vertAlign w:val="baseline"/>
        <w:position w:val="0"/>
        <w:sz w:val="24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4"/>
      </w:r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37" w:hanging="737"/>
      </w:pPr>
      <w:rPr>
        <w:vertAlign w:val="baseline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hanging="405"/>
      </w:pPr>
      <w:rPr>
        <w:vertAlign w:val="baseline"/>
        <w:position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vertAlign w:val="baseline"/>
        <w:position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vertAlign w:val="baseline"/>
        <w:position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vertAlign w:val="baseline"/>
        <w:position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vertAlign w:val="baseline"/>
        <w:position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vertAlign w:val="baseline"/>
        <w:position w:val="0"/>
        <w:sz w:val="24"/>
      </w:rPr>
    </w:lvl>
  </w:abstractNum>
  <w:abstractNum w:abstractNumId="6">
    <w:lvl w:ilvl="0">
      <w:start w:val="1"/>
      <w:numFmt w:val="bullet"/>
      <w:lvlText w:val=""/>
      <w:lvlJc w:val="left"/>
      <w:pPr>
        <w:tabs>
          <w:tab w:val="num" w:pos="0"/>
        </w:tabs>
        <w:ind w:left="1440" w:hanging="360"/>
      </w:pPr>
      <w:rPr>
        <w:rFonts w:ascii="Monotype Sorts" w:hAnsi="Monotype Sorts" w:cs="Monotype Sort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47" w:before="0" w:after="14"/>
      <w:ind w:left="82" w:hanging="10"/>
      <w:jc w:val="both"/>
      <w:textAlignment w:val="top"/>
      <w:outlineLvl w:val="0"/>
    </w:pPr>
    <w:rPr>
      <w:rFonts w:ascii="Times New Roman" w:hAnsi="Times New Roman" w:eastAsia="NSimSun" w:cs="Lucida Sans"/>
      <w:color w:val="000000"/>
      <w:kern w:val="0"/>
      <w:sz w:val="24"/>
      <w:szCs w:val="22"/>
      <w:vertAlign w:val="subscript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240" w:after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next w:val="Normal1"/>
    <w:uiPriority w:val="9"/>
    <w:semiHidden/>
    <w:unhideWhenUsed/>
    <w:qFormat/>
    <w:pPr>
      <w:keepNext w:val="true"/>
      <w:keepLines/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bidi w:val="0"/>
      <w:spacing w:lineRule="auto" w:line="259" w:before="0" w:after="14"/>
      <w:ind w:left="10" w:right="1037" w:hanging="10"/>
      <w:jc w:val="center"/>
      <w:textAlignment w:val="top"/>
      <w:outlineLvl w:val="1"/>
    </w:pPr>
    <w:rPr>
      <w:rFonts w:ascii="Times New Roman" w:hAnsi="Times New Roman" w:eastAsia="NSimSun" w:cs="Lucida Sans"/>
      <w:b/>
      <w:color w:val="000000"/>
      <w:kern w:val="0"/>
      <w:sz w:val="24"/>
      <w:szCs w:val="22"/>
      <w:vertAlign w:val="subscript"/>
      <w:lang w:val="pt-BR" w:eastAsia="zh-CN" w:bidi="hi-IN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qFormat/>
    <w:rPr>
      <w:rFonts w:ascii="Times New Roman" w:hAnsi="Times New Roman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  <w:lang w:eastAsia="pt-BR"/>
    </w:rPr>
  </w:style>
  <w:style w:type="character" w:styleId="Normaltextrun" w:customStyle="1">
    <w:name w:val="normaltextrun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Eop" w:customStyle="1">
    <w:name w:val="eop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Spellingerror" w:customStyle="1">
    <w:name w:val="spellingerror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Appleconvertedspace" w:customStyle="1">
    <w:name w:val="apple-converted-space"/>
    <w:basedOn w:val="DefaultParagraphFont"/>
    <w:qFormat/>
    <w:rPr>
      <w:w w:val="100"/>
      <w:position w:val="0"/>
      <w:sz w:val="24"/>
      <w:effect w:val="none"/>
      <w:vertAlign w:val="baseline"/>
      <w:em w:val="none"/>
    </w:rPr>
  </w:style>
  <w:style w:type="character" w:styleId="Ttulo1Char" w:customStyle="1">
    <w:name w:val="Título 1 Char"/>
    <w:qFormat/>
    <w:rPr>
      <w:rFonts w:ascii="Calibri Light" w:hAnsi="Calibri Light" w:eastAsia="Times New Roman" w:cs="Times New Roman"/>
      <w:color w:val="2F5496"/>
      <w:w w:val="100"/>
      <w:position w:val="0"/>
      <w:sz w:val="32"/>
      <w:sz w:val="32"/>
      <w:szCs w:val="32"/>
      <w:effect w:val="none"/>
      <w:vertAlign w:val="baseline"/>
      <w:em w:val="none"/>
      <w:lang w:eastAsia="pt-BR"/>
    </w:rPr>
  </w:style>
  <w:style w:type="character" w:styleId="LinkdaInternet">
    <w:name w:val="Link da Internet"/>
    <w:uiPriority w:val="99"/>
    <w:qFormat/>
    <w:rPr>
      <w:color w:val="0563C1"/>
      <w:w w:val="100"/>
      <w:position w:val="0"/>
      <w:sz w:val="24"/>
      <w:u w:val="single"/>
      <w:effect w:val="none"/>
      <w:vertAlign w:val="baseline"/>
      <w:em w:val="none"/>
    </w:rPr>
  </w:style>
  <w:style w:type="character" w:styleId="CabealhoChar" w:customStyle="1">
    <w:name w:val="Cabeçalho Char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effect w:val="none"/>
      <w:vertAlign w:val="baseline"/>
      <w:em w:val="none"/>
      <w:lang w:eastAsia="pt-BR"/>
    </w:rPr>
  </w:style>
  <w:style w:type="character" w:styleId="RodapChar" w:customStyle="1">
    <w:name w:val="Rodapé Char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effect w:val="none"/>
      <w:vertAlign w:val="baseline"/>
      <w:em w:val="none"/>
      <w:lang w:eastAsia="pt-BR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lineRule="auto" w:line="247" w:before="0" w:after="14"/>
      <w:ind w:left="82" w:hanging="10"/>
      <w:jc w:val="both"/>
    </w:pPr>
    <w:rPr>
      <w:rFonts w:ascii="Times New Roman" w:hAnsi="Times New Roman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mrio2">
    <w:name w:val="TOC 2"/>
    <w:basedOn w:val="Normal1"/>
    <w:next w:val="Normal1"/>
    <w:uiPriority w:val="39"/>
    <w:qFormat/>
    <w:pPr>
      <w:pBdr>
        <w:top w:val="nil"/>
        <w:left w:val="nil"/>
        <w:bottom w:val="nil"/>
        <w:right w:val="nil"/>
      </w:pBdr>
      <w:spacing w:lineRule="auto" w:line="264" w:before="0" w:after="0"/>
      <w:ind w:left="238" w:hanging="0"/>
      <w:jc w:val="left"/>
    </w:pPr>
    <w:rPr>
      <w:rFonts w:ascii="Calibri" w:hAnsi="Calibri"/>
      <w:b/>
      <w:bCs/>
      <w:color w:val="auto"/>
      <w:sz w:val="22"/>
    </w:rPr>
  </w:style>
  <w:style w:type="paragraph" w:styleId="Paragraph" w:customStyle="1">
    <w:name w:val="paragraph"/>
    <w:basedOn w:val="Normal1"/>
    <w:qFormat/>
    <w:pPr>
      <w:pBdr>
        <w:top w:val="nil"/>
        <w:left w:val="nil"/>
        <w:bottom w:val="nil"/>
        <w:right w:val="nil"/>
      </w:pBdr>
      <w:spacing w:lineRule="auto" w:line="240" w:beforeAutospacing="1" w:afterAutospacing="1"/>
      <w:ind w:left="0" w:hanging="0"/>
      <w:jc w:val="left"/>
    </w:pPr>
    <w:rPr>
      <w:color w:val="auto"/>
      <w:szCs w:val="24"/>
    </w:rPr>
  </w:style>
  <w:style w:type="paragraph" w:styleId="ListParagraph">
    <w:name w:val="List Paragraph"/>
    <w:basedOn w:val="Normal1"/>
    <w:qFormat/>
    <w:pPr>
      <w:spacing w:before="0" w:after="14"/>
      <w:ind w:left="720" w:hanging="10"/>
      <w:contextualSpacing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1"/>
    <w:qFormat/>
    <w:pPr>
      <w:pBdr>
        <w:top w:val="nil"/>
        <w:left w:val="nil"/>
        <w:bottom w:val="nil"/>
        <w:right w:val="nil"/>
      </w:pBdr>
      <w:spacing w:lineRule="auto" w:line="259"/>
      <w:ind w:left="0" w:hanging="0"/>
      <w:jc w:val="left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qFormat/>
    <w:pPr>
      <w:spacing w:lineRule="auto" w:line="240" w:before="0" w:after="0"/>
    </w:pPr>
    <w:rPr/>
  </w:style>
  <w:style w:type="paragraph" w:styleId="Sumrio3">
    <w:name w:val="TOC 3"/>
    <w:basedOn w:val="Normal1"/>
    <w:next w:val="Normal1"/>
    <w:uiPriority w:val="39"/>
    <w:qFormat/>
    <w:pPr>
      <w:spacing w:before="0" w:after="100"/>
      <w:ind w:left="480" w:hanging="10"/>
    </w:pPr>
    <w:rPr/>
  </w:style>
  <w:style w:type="paragraph" w:styleId="Rodap">
    <w:name w:val="Footer"/>
    <w:basedOn w:val="Normal1"/>
    <w:qFormat/>
    <w:pPr>
      <w:spacing w:lineRule="auto" w:line="240" w:before="0" w:after="0"/>
    </w:pPr>
    <w:rPr/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mrio1">
    <w:name w:val="TOC 1"/>
    <w:basedOn w:val="Normal1"/>
    <w:next w:val="Normal1"/>
    <w:autoRedefine/>
    <w:uiPriority w:val="39"/>
    <w:unhideWhenUsed/>
    <w:rsid w:val="00457f3f"/>
    <w:pPr>
      <w:spacing w:before="0" w:after="100"/>
      <w:ind w:left="0" w:hanging="1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1Clara-nfase1">
    <w:name w:val="Grid Table 1 Light Accent 1"/>
    <w:basedOn w:val="Tabelanormal"/>
    <w:pPr>
      <w:spacing w:after="0" w:line="240" w:lineRule="auto"/>
    </w:p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image" Target="media/image2.png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Bm1ZRPZZ6XFUD9B6llqlriP70w==">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LibreOffice/7.3.7.2$Windows_X86_64 LibreOffice_project/e114eadc50a9ff8d8c8a0567d6da8f454beeb84f</Application>
  <AppVersion>15.0000</AppVersion>
  <Pages>17</Pages>
  <Words>2752</Words>
  <Characters>14358</Characters>
  <CharactersWithSpaces>16497</CharactersWithSpaces>
  <Paragraphs>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2021-11-12T19:23:00Z</dcterms:created>
  <dc:creator>Aurea Lunga</dc:creator>
  <dc:description/>
  <dc:language>pt-BR</dc:language>
  <cp:lastModifiedBy/>
  <dcterms:modified xsi:type="dcterms:W3CDTF">2023-08-22T10:50:39Z</dcterms:modified>
  <cp:revision>1</cp:revision>
  <dc:subject/>
  <dc:title/>
</cp:coreProperties>
</file>